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746887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РОДИТЕЛИ!</w:t>
      </w:r>
    </w:p>
    <w:p w:rsidR="007A0103" w:rsidRPr="00746887" w:rsidRDefault="007A0103" w:rsidP="007A0103">
      <w:pPr>
        <w:shd w:val="clear" w:color="auto" w:fill="F7F7F7"/>
        <w:spacing w:after="150" w:line="240" w:lineRule="auto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Общие правила безопасности</w:t>
      </w:r>
    </w:p>
    <w:p w:rsidR="007A0103" w:rsidRPr="00746887" w:rsidRDefault="007A0103" w:rsidP="007A0103">
      <w:pPr>
        <w:shd w:val="clear" w:color="auto" w:fill="F7F7F7"/>
        <w:spacing w:after="150" w:line="240" w:lineRule="auto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7A0103" w:rsidRPr="00746887" w:rsidRDefault="007A0103" w:rsidP="007A0103">
      <w:pPr>
        <w:numPr>
          <w:ilvl w:val="0"/>
          <w:numId w:val="1"/>
        </w:numPr>
        <w:shd w:val="clear" w:color="auto" w:fill="F7F7F7"/>
        <w:spacing w:after="0" w:line="240" w:lineRule="auto"/>
        <w:ind w:left="450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БУДЬТЕ БДИТЕЛЬНЫ!!!</w:t>
      </w:r>
    </w:p>
    <w:p w:rsidR="007A0103" w:rsidRDefault="007A0103" w:rsidP="007A0103">
      <w:pPr>
        <w:shd w:val="clear" w:color="auto" w:fill="F7F7F7"/>
        <w:spacing w:after="150" w:line="240" w:lineRule="auto"/>
        <w:jc w:val="center"/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</w:pPr>
    </w:p>
    <w:p w:rsidR="007A0103" w:rsidRPr="00746887" w:rsidRDefault="007A0103" w:rsidP="007A0103">
      <w:pPr>
        <w:shd w:val="clear" w:color="auto" w:fill="F7F7F7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color w:val="B22222"/>
          <w:sz w:val="24"/>
          <w:szCs w:val="24"/>
          <w:lang w:eastAsia="ru-RU"/>
        </w:rPr>
        <w:t>РЕКОМЕНДАЦИИ ГРАЖДАНАМ ПО ДЕЙСТВИЯМ ПРИ УГРОЗЕ СОВЕРШЕНИЯ ТЕРРОРИСТИЧЕСКОГО АКТА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действовать в чрезвычайных ситуациях гражданам необходимо знать</w:t>
      </w:r>
      <w:proofErr w:type="gramEnd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Рекомендации при обнаружении подозрительного предмета.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возможно</w:t>
      </w:r>
      <w:proofErr w:type="gramEnd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Во всех перечисленных случаях: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зафиксируйте время обнаружения находки;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незамедлительно сообщите в территориальный орган милиции;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радиовзрывателей</w:t>
      </w:r>
      <w:proofErr w:type="spellEnd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обнаруженных, а также пока не обнаруженных взрывных устройств;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обязательно дождитесь прибытия оперативно-следственной группы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proofErr w:type="gramStart"/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необычное размещение обнаруженного предмета;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7A0103" w:rsidRPr="00746887" w:rsidRDefault="007A0103" w:rsidP="007A0103">
      <w:pPr>
        <w:shd w:val="clear" w:color="auto" w:fill="F7F7F7"/>
        <w:spacing w:after="150" w:line="240" w:lineRule="auto"/>
        <w:ind w:firstLine="426"/>
        <w:jc w:val="both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746887">
        <w:rPr>
          <w:rFonts w:ascii="Georgia" w:eastAsia="Times New Roman" w:hAnsi="Georgia" w:cs="Times New Roman"/>
          <w:sz w:val="24"/>
          <w:szCs w:val="24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7A0103" w:rsidRDefault="007A0103" w:rsidP="007A0103"/>
    <w:p w:rsidR="00970501" w:rsidRDefault="00970501"/>
    <w:sectPr w:rsidR="0097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5ECA"/>
    <w:multiLevelType w:val="multilevel"/>
    <w:tmpl w:val="7D7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B"/>
    <w:rsid w:val="0050453B"/>
    <w:rsid w:val="007A0103"/>
    <w:rsid w:val="00970501"/>
    <w:rsid w:val="00A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Куперман</cp:lastModifiedBy>
  <cp:revision>2</cp:revision>
  <dcterms:created xsi:type="dcterms:W3CDTF">2021-12-13T17:38:00Z</dcterms:created>
  <dcterms:modified xsi:type="dcterms:W3CDTF">2021-12-13T17:38:00Z</dcterms:modified>
</cp:coreProperties>
</file>